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rPr>
          <w:b w:val="1"/>
          <w:sz w:val="26"/>
          <w:szCs w:val="26"/>
        </w:rPr>
      </w:pPr>
      <w:bookmarkStart w:colFirst="0" w:colLast="0" w:name="_mapx93luxkok" w:id="0"/>
      <w:bookmarkEnd w:id="0"/>
      <w:r w:rsidDel="00000000" w:rsidR="00000000" w:rsidRPr="00000000">
        <w:rPr>
          <w:rtl w:val="0"/>
        </w:rPr>
        <w:t xml:space="preserve">A Homebuyer's Guide to Atlanta Neighborhood Selection in 2021</w:t>
      </w:r>
      <w:r w:rsidDel="00000000" w:rsidR="00000000" w:rsidRPr="00000000">
        <w:rPr>
          <w:rtl w:val="0"/>
        </w:rPr>
      </w:r>
    </w:p>
    <w:p w:rsidR="00000000" w:rsidDel="00000000" w:rsidP="00000000" w:rsidRDefault="00000000" w:rsidRPr="00000000" w14:paraId="00000002">
      <w:pPr>
        <w:pStyle w:val="Subtitle"/>
        <w:rPr/>
      </w:pPr>
      <w:bookmarkStart w:colFirst="0" w:colLast="0" w:name="_uov5y64yh1xw" w:id="1"/>
      <w:bookmarkEnd w:id="1"/>
      <w:r w:rsidDel="00000000" w:rsidR="00000000" w:rsidRPr="00000000">
        <w:rPr>
          <w:rtl w:val="0"/>
        </w:rPr>
        <w:t xml:space="preserve">Kristan Bhandari</w:t>
      </w:r>
    </w:p>
    <w:p w:rsidR="00000000" w:rsidDel="00000000" w:rsidP="00000000" w:rsidRDefault="00000000" w:rsidRPr="00000000" w14:paraId="00000003">
      <w:pPr>
        <w:jc w:val="center"/>
        <w:rPr/>
      </w:pPr>
      <w:r w:rsidDel="00000000" w:rsidR="00000000" w:rsidRPr="00000000">
        <w:rPr/>
        <w:drawing>
          <wp:inline distB="114300" distT="114300" distL="114300" distR="114300">
            <wp:extent cx="4376738" cy="2912047"/>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376738" cy="2912047"/>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center"/>
        <w:rPr>
          <w:b w:val="1"/>
          <w:sz w:val="30"/>
          <w:szCs w:val="30"/>
          <w:u w:val="single"/>
        </w:rPr>
      </w:pPr>
      <w:r w:rsidDel="00000000" w:rsidR="00000000" w:rsidRPr="00000000">
        <w:rPr>
          <w:rtl w:val="0"/>
        </w:rPr>
      </w:r>
    </w:p>
    <w:p w:rsidR="00000000" w:rsidDel="00000000" w:rsidP="00000000" w:rsidRDefault="00000000" w:rsidRPr="00000000" w14:paraId="00000005">
      <w:pPr>
        <w:jc w:val="center"/>
        <w:rPr>
          <w:b w:val="1"/>
          <w:sz w:val="30"/>
          <w:szCs w:val="30"/>
          <w:u w:val="single"/>
        </w:rPr>
      </w:pPr>
      <w:r w:rsidDel="00000000" w:rsidR="00000000" w:rsidRPr="00000000">
        <w:rPr>
          <w:b w:val="1"/>
          <w:sz w:val="30"/>
          <w:szCs w:val="30"/>
          <w:u w:val="single"/>
          <w:rtl w:val="0"/>
        </w:rPr>
        <w:t xml:space="preserve">Table of Contents</w:t>
      </w:r>
    </w:p>
    <w:tbl>
      <w:tblPr>
        <w:tblStyle w:val="Table1"/>
        <w:tblW w:w="9360.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65"/>
        <w:gridCol w:w="4695"/>
        <w:tblGridChange w:id="0">
          <w:tblGrid>
            <w:gridCol w:w="4665"/>
            <w:gridCol w:w="4695"/>
          </w:tblGrid>
        </w:tblGridChange>
      </w:tblGrid>
      <w:tr>
        <w:trPr>
          <w:trHeight w:val="4321.77734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06">
            <w:pPr>
              <w:spacing w:after="80" w:before="200" w:line="240" w:lineRule="auto"/>
              <w:rPr>
                <w:color w:val="1155cc"/>
                <w:u w:val="singl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7">
                <w:pPr>
                  <w:spacing w:before="80" w:line="240" w:lineRule="auto"/>
                  <w:ind w:left="0" w:firstLine="0"/>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w:instrText>
                  <w:fldChar w:fldCharType="separate"/>
                </w:r>
                <w:hyperlink w:anchor="_77ywk9iihfu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Introduction</w:t>
                  </w:r>
                </w:hyperlink>
                <w:r w:rsidDel="00000000" w:rsidR="00000000" w:rsidRPr="00000000">
                  <w:rPr>
                    <w:rtl w:val="0"/>
                  </w:rPr>
                </w:r>
              </w:p>
              <w:p w:rsidR="00000000" w:rsidDel="00000000" w:rsidP="00000000" w:rsidRDefault="00000000" w:rsidRPr="00000000" w14:paraId="00000008">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k8qtyk9v0kk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1.1 Background</w:t>
                  </w:r>
                </w:hyperlink>
                <w:r w:rsidDel="00000000" w:rsidR="00000000" w:rsidRPr="00000000">
                  <w:rPr>
                    <w:rtl w:val="0"/>
                  </w:rPr>
                </w:r>
              </w:p>
              <w:p w:rsidR="00000000" w:rsidDel="00000000" w:rsidP="00000000" w:rsidRDefault="00000000" w:rsidRPr="00000000" w14:paraId="00000009">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2cwtxp5jfnh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1.2 Problem</w:t>
                  </w:r>
                </w:hyperlink>
                <w:r w:rsidDel="00000000" w:rsidR="00000000" w:rsidRPr="00000000">
                  <w:rPr>
                    <w:rtl w:val="0"/>
                  </w:rPr>
                </w:r>
              </w:p>
              <w:p w:rsidR="00000000" w:rsidDel="00000000" w:rsidP="00000000" w:rsidRDefault="00000000" w:rsidRPr="00000000" w14:paraId="0000000A">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5ubzmn4s7tp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1.3 Need for Data</w:t>
                  </w:r>
                </w:hyperlink>
                <w:r w:rsidDel="00000000" w:rsidR="00000000" w:rsidRPr="00000000">
                  <w:rPr>
                    <w:rtl w:val="0"/>
                  </w:rPr>
                </w:r>
              </w:p>
              <w:p w:rsidR="00000000" w:rsidDel="00000000" w:rsidP="00000000" w:rsidRDefault="00000000" w:rsidRPr="00000000" w14:paraId="0000000B">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gqa3uw7jyt7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Collection</w:t>
                  </w:r>
                </w:hyperlink>
                <w:r w:rsidDel="00000000" w:rsidR="00000000" w:rsidRPr="00000000">
                  <w:rPr>
                    <w:rtl w:val="0"/>
                  </w:rPr>
                </w:r>
              </w:p>
              <w:p w:rsidR="00000000" w:rsidDel="00000000" w:rsidP="00000000" w:rsidRDefault="00000000" w:rsidRPr="00000000" w14:paraId="0000000C">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36zkxkfzsdy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2.1 Data Sources</w:t>
                  </w:r>
                </w:hyperlink>
                <w:r w:rsidDel="00000000" w:rsidR="00000000" w:rsidRPr="00000000">
                  <w:rPr>
                    <w:rtl w:val="0"/>
                  </w:rPr>
                </w:r>
              </w:p>
              <w:p w:rsidR="00000000" w:rsidDel="00000000" w:rsidP="00000000" w:rsidRDefault="00000000" w:rsidRPr="00000000" w14:paraId="0000000D">
                <w:pPr>
                  <w:spacing w:after="80"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il0gi0nik13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References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E">
            <w:pPr>
              <w:rPr>
                <w:color w:val="1155cc"/>
                <w:u w:val="single"/>
              </w:rPr>
            </w:pPr>
            <w:r w:rsidDel="00000000" w:rsidR="00000000" w:rsidRPr="00000000">
              <w:rPr>
                <w:rtl w:val="0"/>
              </w:rPr>
            </w:r>
          </w:p>
          <w:p w:rsidR="00000000" w:rsidDel="00000000" w:rsidP="00000000" w:rsidRDefault="00000000" w:rsidRPr="00000000" w14:paraId="0000000F">
            <w:pPr>
              <w:spacing w:after="80" w:before="200" w:line="240" w:lineRule="auto"/>
              <w:rPr>
                <w:color w:val="1155cc"/>
                <w:u w:val="single"/>
              </w:rPr>
            </w:pPr>
            <w:r w:rsidDel="00000000" w:rsidR="00000000" w:rsidRPr="00000000">
              <w:rPr>
                <w:rtl w:val="0"/>
              </w:rPr>
            </w:r>
          </w:p>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0"/>
                <w:szCs w:val="30"/>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0"/>
                <w:szCs w:val="30"/>
                <w:u w:val="singl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2">
                <w:pPr>
                  <w:spacing w:after="80" w:before="200" w:line="240" w:lineRule="auto"/>
                  <w:ind w:left="0" w:firstLine="0"/>
                  <w:rPr>
                    <w:color w:val="1155cc"/>
                    <w:u w:val="single"/>
                  </w:rPr>
                </w:pPr>
                <w:r w:rsidDel="00000000" w:rsidR="00000000" w:rsidRPr="00000000">
                  <w:fldChar w:fldCharType="begin"/>
                  <w:instrText xml:space="preserve"> TOC \h \u \z \n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3">
            <w:pPr>
              <w:rPr>
                <w:b w:val="1"/>
                <w:sz w:val="30"/>
                <w:szCs w:val="30"/>
                <w:u w:val="single"/>
              </w:rPr>
            </w:pPr>
            <w:r w:rsidDel="00000000" w:rsidR="00000000" w:rsidRPr="00000000">
              <w:rPr>
                <w:rtl w:val="0"/>
              </w:rPr>
            </w:r>
          </w:p>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0"/>
                <w:szCs w:val="30"/>
                <w:u w:val="single"/>
              </w:rPr>
            </w:pPr>
            <w:r w:rsidDel="00000000" w:rsidR="00000000" w:rsidRPr="00000000">
              <w:rPr>
                <w:rtl w:val="0"/>
              </w:rPr>
            </w:r>
          </w:p>
        </w:tc>
      </w:tr>
    </w:tbl>
    <w:p w:rsidR="00000000" w:rsidDel="00000000" w:rsidP="00000000" w:rsidRDefault="00000000" w:rsidRPr="00000000" w14:paraId="00000015">
      <w:pPr>
        <w:pStyle w:val="Heading1"/>
        <w:rPr/>
      </w:pPr>
      <w:bookmarkStart w:colFirst="0" w:colLast="0" w:name="_77ywk9iihfuk" w:id="2"/>
      <w:bookmarkEnd w:id="2"/>
      <w:r w:rsidDel="00000000" w:rsidR="00000000" w:rsidRPr="00000000">
        <w:rPr>
          <w:rtl w:val="0"/>
        </w:rPr>
        <w:t xml:space="preserve">Introduction  </w:t>
      </w:r>
    </w:p>
    <w:p w:rsidR="00000000" w:rsidDel="00000000" w:rsidP="00000000" w:rsidRDefault="00000000" w:rsidRPr="00000000" w14:paraId="00000016">
      <w:pPr>
        <w:pStyle w:val="Heading2"/>
        <w:rPr/>
      </w:pPr>
      <w:bookmarkStart w:colFirst="0" w:colLast="0" w:name="_k8qtyk9v0kkv" w:id="3"/>
      <w:bookmarkEnd w:id="3"/>
      <w:r w:rsidDel="00000000" w:rsidR="00000000" w:rsidRPr="00000000">
        <w:rPr>
          <w:rtl w:val="0"/>
        </w:rPr>
        <w:t xml:space="preserve">1.1 </w:t>
      </w:r>
      <w:r w:rsidDel="00000000" w:rsidR="00000000" w:rsidRPr="00000000">
        <w:rPr>
          <w:rtl w:val="0"/>
        </w:rPr>
        <w:t xml:space="preserve">Background</w:t>
      </w:r>
    </w:p>
    <w:p w:rsidR="00000000" w:rsidDel="00000000" w:rsidP="00000000" w:rsidRDefault="00000000" w:rsidRPr="00000000" w14:paraId="00000017">
      <w:pPr>
        <w:rPr/>
      </w:pPr>
      <w:r w:rsidDel="00000000" w:rsidR="00000000" w:rsidRPr="00000000">
        <w:rPr>
          <w:rtl w:val="0"/>
        </w:rPr>
        <w:t xml:space="preserve">The COVID-19 pandemic has affected the housing market in many ways. Last year, we saw an offset buying season, with extraordinarily low inventory during the summer, and strained construction crews and a higher cost of materials meant fewer homes were being built. 2020 saw a shortage of nearly 4 million new constructions</w:t>
      </w:r>
      <w:r w:rsidDel="00000000" w:rsidR="00000000" w:rsidRPr="00000000">
        <w:rPr>
          <w:vertAlign w:val="superscript"/>
          <w:rtl w:val="0"/>
        </w:rPr>
        <w:t xml:space="preserve">1</w:t>
      </w:r>
      <w:r w:rsidDel="00000000" w:rsidR="00000000" w:rsidRPr="00000000">
        <w:rPr>
          <w:rtl w:val="0"/>
        </w:rPr>
        <w:t xml:space="preserve">, and it’s estimated that lumber costs have driven up the price by nearly $24k</w:t>
      </w:r>
      <w:r w:rsidDel="00000000" w:rsidR="00000000" w:rsidRPr="00000000">
        <w:rPr>
          <w:vertAlign w:val="superscript"/>
          <w:rtl w:val="0"/>
        </w:rPr>
        <w:t xml:space="preserve">2</w:t>
      </w:r>
      <w:r w:rsidDel="00000000" w:rsidR="00000000" w:rsidRPr="00000000">
        <w:rPr>
          <w:rtl w:val="0"/>
        </w:rPr>
        <w:t xml:space="preserve">. Factor in low mortgage rates, and a new wave of Gen-Z first-time homebuyers and Millenials looking to “trade up,” and you have a recipe for a steep increase in home pricing. While some may argue these factors don’t necessarily make this a true housing bubble, no one can deny that the current housing market does not favor buyers. In fact, this is the strongest seller’s market since 2006</w:t>
      </w:r>
      <w:r w:rsidDel="00000000" w:rsidR="00000000" w:rsidRPr="00000000">
        <w:rPr>
          <w:rtl w:val="0"/>
        </w:rPr>
        <w:t xml:space="preserve">3</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18">
      <w:pPr>
        <w:pStyle w:val="Heading2"/>
        <w:ind w:left="0" w:firstLine="0"/>
        <w:rPr/>
      </w:pPr>
      <w:bookmarkStart w:colFirst="0" w:colLast="0" w:name="_2cwtxp5jfnho" w:id="4"/>
      <w:bookmarkEnd w:id="4"/>
      <w:r w:rsidDel="00000000" w:rsidR="00000000" w:rsidRPr="00000000">
        <w:rPr>
          <w:rtl w:val="0"/>
        </w:rPr>
        <w:t xml:space="preserve">1.2 Problem</w:t>
      </w: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The largest obstacle homebuyers will run into as they identify prospective homes is highly </w:t>
      </w:r>
      <w:r w:rsidDel="00000000" w:rsidR="00000000" w:rsidRPr="00000000">
        <w:rPr>
          <w:rtl w:val="0"/>
        </w:rPr>
        <w:t xml:space="preserve">competitive </w:t>
      </w:r>
      <w:r w:rsidDel="00000000" w:rsidR="00000000" w:rsidRPr="00000000">
        <w:rPr>
          <w:rtl w:val="0"/>
        </w:rPr>
        <w:t xml:space="preserve">bidding. Approximately 36% of homes sold in February this year sold above asking price, which is the largest share on record</w:t>
      </w:r>
      <w:r w:rsidDel="00000000" w:rsidR="00000000" w:rsidRPr="00000000">
        <w:rPr>
          <w:vertAlign w:val="superscript"/>
          <w:rtl w:val="0"/>
        </w:rPr>
        <w:t xml:space="preserve">3</w:t>
      </w:r>
      <w:r w:rsidDel="00000000" w:rsidR="00000000" w:rsidRPr="00000000">
        <w:rPr>
          <w:rtl w:val="0"/>
        </w:rPr>
        <w:t xml:space="preserve">. Those who </w:t>
      </w:r>
      <w:r w:rsidDel="00000000" w:rsidR="00000000" w:rsidRPr="00000000">
        <w:rPr>
          <w:i w:val="1"/>
          <w:rtl w:val="0"/>
        </w:rPr>
        <w:t xml:space="preserve">do </w:t>
      </w:r>
      <w:r w:rsidDel="00000000" w:rsidR="00000000" w:rsidRPr="00000000">
        <w:rPr>
          <w:rtl w:val="0"/>
        </w:rPr>
        <w:t xml:space="preserve">sell are often looking to buy in a more affordable area, where they will be able to outbid local homebuyers. And remote work has many city-dwellers looking to the suburbs, which have comparatively lower prices, giving them the upper hand.</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This is especially critical for the city of Atlanta, as housing prices vary greatly, from the affluent neighborhood of North Buckhead to the modest area of Cross Creek, to the numerous surrounding suburban communities, each with their own unique characteristics. With such a variety and so many factors to consider (schools, crime rate, popular places, etc.), it can be difficult to narrow the options and figure out the best area to buy.</w:t>
      </w:r>
      <w:r w:rsidDel="00000000" w:rsidR="00000000" w:rsidRPr="00000000">
        <w:rPr>
          <w:rtl w:val="0"/>
        </w:rPr>
      </w:r>
    </w:p>
    <w:p w:rsidR="00000000" w:rsidDel="00000000" w:rsidP="00000000" w:rsidRDefault="00000000" w:rsidRPr="00000000" w14:paraId="0000001C">
      <w:pPr>
        <w:pStyle w:val="Heading2"/>
        <w:ind w:left="0" w:firstLine="0"/>
        <w:rPr/>
      </w:pPr>
      <w:bookmarkStart w:colFirst="0" w:colLast="0" w:name="_5ubzmn4s7tpt" w:id="5"/>
      <w:bookmarkEnd w:id="5"/>
      <w:r w:rsidDel="00000000" w:rsidR="00000000" w:rsidRPr="00000000">
        <w:rPr>
          <w:rtl w:val="0"/>
        </w:rPr>
        <w:t xml:space="preserve">1.3 Need for Data</w:t>
      </w:r>
    </w:p>
    <w:p w:rsidR="00000000" w:rsidDel="00000000" w:rsidP="00000000" w:rsidRDefault="00000000" w:rsidRPr="00000000" w14:paraId="0000001D">
      <w:pPr>
        <w:rPr/>
      </w:pPr>
      <w:r w:rsidDel="00000000" w:rsidR="00000000" w:rsidRPr="00000000">
        <w:rPr>
          <w:rtl w:val="0"/>
        </w:rPr>
        <w:t xml:space="preserve">It is imperative that current homebuyers choose their desired areas wisely, because when they do put in an offer, theirs will just be one of many. The goal of this analysis is to help those brave enough to take on the competitive market and take advantage of low mortgage rates to make the most educated decision possible before diving in.</w:t>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pStyle w:val="Heading1"/>
        <w:ind w:left="0" w:firstLine="0"/>
        <w:rPr/>
      </w:pPr>
      <w:bookmarkStart w:colFirst="0" w:colLast="0" w:name="_gdy4ooca0j2" w:id="6"/>
      <w:bookmarkEnd w:id="6"/>
      <w:r w:rsidDel="00000000" w:rsidR="00000000" w:rsidRPr="00000000">
        <w:br w:type="page"/>
      </w:r>
      <w:r w:rsidDel="00000000" w:rsidR="00000000" w:rsidRPr="00000000">
        <w:rPr>
          <w:rtl w:val="0"/>
        </w:rPr>
      </w:r>
    </w:p>
    <w:p w:rsidR="00000000" w:rsidDel="00000000" w:rsidP="00000000" w:rsidRDefault="00000000" w:rsidRPr="00000000" w14:paraId="00000021">
      <w:pPr>
        <w:pStyle w:val="Heading1"/>
        <w:ind w:left="0" w:firstLine="0"/>
        <w:rPr>
          <w:b w:val="1"/>
        </w:rPr>
      </w:pPr>
      <w:bookmarkStart w:colFirst="0" w:colLast="0" w:name="_gqa3uw7jyt77" w:id="7"/>
      <w:bookmarkEnd w:id="7"/>
      <w:r w:rsidDel="00000000" w:rsidR="00000000" w:rsidRPr="00000000">
        <w:rPr>
          <w:b w:val="1"/>
          <w:rtl w:val="0"/>
        </w:rPr>
        <w:t xml:space="preserve">Data Collection</w:t>
      </w:r>
    </w:p>
    <w:p w:rsidR="00000000" w:rsidDel="00000000" w:rsidP="00000000" w:rsidRDefault="00000000" w:rsidRPr="00000000" w14:paraId="00000022">
      <w:pPr>
        <w:pStyle w:val="Heading2"/>
        <w:rPr/>
      </w:pPr>
      <w:bookmarkStart w:colFirst="0" w:colLast="0" w:name="_36zkxkfzsdyh" w:id="8"/>
      <w:bookmarkEnd w:id="8"/>
      <w:r w:rsidDel="00000000" w:rsidR="00000000" w:rsidRPr="00000000">
        <w:rPr>
          <w:rtl w:val="0"/>
        </w:rPr>
        <w:t xml:space="preserve">2.1 Data Sources</w:t>
      </w:r>
    </w:p>
    <w:p w:rsidR="00000000" w:rsidDel="00000000" w:rsidP="00000000" w:rsidRDefault="00000000" w:rsidRPr="00000000" w14:paraId="00000023">
      <w:pPr>
        <w:rPr/>
      </w:pPr>
      <w:r w:rsidDel="00000000" w:rsidR="00000000" w:rsidRPr="00000000">
        <w:rPr>
          <w:rtl w:val="0"/>
        </w:rPr>
        <w:t xml:space="preserve">In order to gain as much insight as possible into each neighborhood, the following factors will be explored: </w:t>
      </w:r>
    </w:p>
    <w:p w:rsidR="00000000" w:rsidDel="00000000" w:rsidP="00000000" w:rsidRDefault="00000000" w:rsidRPr="00000000" w14:paraId="00000024">
      <w:pPr>
        <w:numPr>
          <w:ilvl w:val="0"/>
          <w:numId w:val="1"/>
        </w:numPr>
        <w:ind w:left="720" w:hanging="360"/>
        <w:rPr>
          <w:u w:val="none"/>
        </w:rPr>
      </w:pPr>
      <w:r w:rsidDel="00000000" w:rsidR="00000000" w:rsidRPr="00000000">
        <w:rPr>
          <w:b w:val="1"/>
          <w:rtl w:val="0"/>
        </w:rPr>
        <w:t xml:space="preserve">Value </w:t>
      </w:r>
      <w:r w:rsidDel="00000000" w:rsidR="00000000" w:rsidRPr="00000000">
        <w:rPr>
          <w:rtl w:val="0"/>
        </w:rPr>
        <w:t xml:space="preserve">- determined by average price per sqft</w:t>
      </w:r>
    </w:p>
    <w:p w:rsidR="00000000" w:rsidDel="00000000" w:rsidP="00000000" w:rsidRDefault="00000000" w:rsidRPr="00000000" w14:paraId="00000025">
      <w:pPr>
        <w:numPr>
          <w:ilvl w:val="0"/>
          <w:numId w:val="1"/>
        </w:numPr>
        <w:ind w:left="720" w:hanging="360"/>
        <w:rPr>
          <w:u w:val="none"/>
        </w:rPr>
      </w:pPr>
      <w:r w:rsidDel="00000000" w:rsidR="00000000" w:rsidRPr="00000000">
        <w:rPr>
          <w:b w:val="1"/>
          <w:rtl w:val="0"/>
        </w:rPr>
        <w:t xml:space="preserve">Potential for appreciation</w:t>
      </w:r>
      <w:r w:rsidDel="00000000" w:rsidR="00000000" w:rsidRPr="00000000">
        <w:rPr>
          <w:rtl w:val="0"/>
        </w:rPr>
        <w:t xml:space="preserve"> - determined by Zillow’s Home Value Forecast (ZHVF)</w:t>
      </w:r>
    </w:p>
    <w:p w:rsidR="00000000" w:rsidDel="00000000" w:rsidP="00000000" w:rsidRDefault="00000000" w:rsidRPr="00000000" w14:paraId="00000026">
      <w:pPr>
        <w:numPr>
          <w:ilvl w:val="0"/>
          <w:numId w:val="1"/>
        </w:numPr>
        <w:ind w:left="720" w:hanging="360"/>
        <w:rPr>
          <w:u w:val="none"/>
        </w:rPr>
      </w:pPr>
      <w:r w:rsidDel="00000000" w:rsidR="00000000" w:rsidRPr="00000000">
        <w:rPr>
          <w:b w:val="1"/>
          <w:rtl w:val="0"/>
        </w:rPr>
        <w:t xml:space="preserve">School district quality</w:t>
      </w:r>
      <w:r w:rsidDel="00000000" w:rsidR="00000000" w:rsidRPr="00000000">
        <w:rPr>
          <w:rtl w:val="0"/>
        </w:rPr>
        <w:t xml:space="preserve"> - determined by the GA Governor’s Office of Student Achievement</w:t>
      </w:r>
    </w:p>
    <w:p w:rsidR="00000000" w:rsidDel="00000000" w:rsidP="00000000" w:rsidRDefault="00000000" w:rsidRPr="00000000" w14:paraId="00000027">
      <w:pPr>
        <w:numPr>
          <w:ilvl w:val="0"/>
          <w:numId w:val="1"/>
        </w:numPr>
        <w:ind w:left="720" w:hanging="360"/>
        <w:rPr>
          <w:u w:val="none"/>
        </w:rPr>
      </w:pPr>
      <w:r w:rsidDel="00000000" w:rsidR="00000000" w:rsidRPr="00000000">
        <w:rPr>
          <w:b w:val="1"/>
          <w:rtl w:val="0"/>
        </w:rPr>
        <w:t xml:space="preserve">Crime level</w:t>
      </w:r>
      <w:r w:rsidDel="00000000" w:rsidR="00000000" w:rsidRPr="00000000">
        <w:rPr>
          <w:rtl w:val="0"/>
        </w:rPr>
        <w:t xml:space="preserve"> - determined by crime index scores from city-data.com</w:t>
      </w:r>
    </w:p>
    <w:p w:rsidR="00000000" w:rsidDel="00000000" w:rsidP="00000000" w:rsidRDefault="00000000" w:rsidRPr="00000000" w14:paraId="00000028">
      <w:pPr>
        <w:numPr>
          <w:ilvl w:val="0"/>
          <w:numId w:val="1"/>
        </w:numPr>
        <w:ind w:left="720" w:hanging="360"/>
        <w:rPr>
          <w:u w:val="none"/>
        </w:rPr>
      </w:pPr>
      <w:r w:rsidDel="00000000" w:rsidR="00000000" w:rsidRPr="00000000">
        <w:rPr>
          <w:b w:val="1"/>
          <w:rtl w:val="0"/>
        </w:rPr>
        <w:t xml:space="preserve">Activity level</w:t>
      </w:r>
      <w:r w:rsidDel="00000000" w:rsidR="00000000" w:rsidRPr="00000000">
        <w:rPr>
          <w:rtl w:val="0"/>
        </w:rPr>
        <w:t xml:space="preserve"> - determined by popularity of venues in the area from data provided by Foursquare</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To this end, data will be collected from the following sources:</w:t>
      </w:r>
      <w:r w:rsidDel="00000000" w:rsidR="00000000" w:rsidRPr="00000000">
        <w:rPr>
          <w:rtl w:val="0"/>
        </w:rPr>
      </w:r>
    </w:p>
    <w:p w:rsidR="00000000" w:rsidDel="00000000" w:rsidP="00000000" w:rsidRDefault="00000000" w:rsidRPr="00000000" w14:paraId="0000002B">
      <w:pPr>
        <w:numPr>
          <w:ilvl w:val="0"/>
          <w:numId w:val="2"/>
        </w:numPr>
        <w:ind w:left="720" w:hanging="360"/>
      </w:pPr>
      <w:hyperlink r:id="rId7">
        <w:r w:rsidDel="00000000" w:rsidR="00000000" w:rsidRPr="00000000">
          <w:rPr>
            <w:color w:val="1155cc"/>
            <w:u w:val="single"/>
            <w:rtl w:val="0"/>
          </w:rPr>
          <w:t xml:space="preserve">Zip Codes for Atlanta (GA) Metro Area via namecensus.com</w:t>
        </w:r>
      </w:hyperlink>
      <w:r w:rsidDel="00000000" w:rsidR="00000000" w:rsidRPr="00000000">
        <w:rPr>
          <w:rtl w:val="0"/>
        </w:rPr>
      </w:r>
    </w:p>
    <w:p w:rsidR="00000000" w:rsidDel="00000000" w:rsidP="00000000" w:rsidRDefault="00000000" w:rsidRPr="00000000" w14:paraId="0000002C">
      <w:pPr>
        <w:numPr>
          <w:ilvl w:val="0"/>
          <w:numId w:val="2"/>
        </w:numPr>
        <w:ind w:left="720" w:hanging="360"/>
        <w:rPr>
          <w:u w:val="none"/>
        </w:rPr>
      </w:pPr>
      <w:hyperlink r:id="rId8">
        <w:r w:rsidDel="00000000" w:rsidR="00000000" w:rsidRPr="00000000">
          <w:rPr>
            <w:color w:val="1155cc"/>
            <w:u w:val="single"/>
            <w:rtl w:val="0"/>
          </w:rPr>
          <w:t xml:space="preserve">ZILLOW/DATA via Quandl API</w:t>
        </w:r>
      </w:hyperlink>
      <w:r w:rsidDel="00000000" w:rsidR="00000000" w:rsidRPr="00000000">
        <w:rPr>
          <w:rtl w:val="0"/>
        </w:rPr>
      </w:r>
    </w:p>
    <w:p w:rsidR="00000000" w:rsidDel="00000000" w:rsidP="00000000" w:rsidRDefault="00000000" w:rsidRPr="00000000" w14:paraId="0000002D">
      <w:pPr>
        <w:numPr>
          <w:ilvl w:val="0"/>
          <w:numId w:val="2"/>
        </w:numPr>
        <w:ind w:left="720" w:hanging="360"/>
        <w:rPr>
          <w:u w:val="none"/>
        </w:rPr>
      </w:pPr>
      <w:hyperlink r:id="rId9">
        <w:r w:rsidDel="00000000" w:rsidR="00000000" w:rsidRPr="00000000">
          <w:rPr>
            <w:color w:val="1155cc"/>
            <w:u w:val="single"/>
            <w:rtl w:val="0"/>
          </w:rPr>
          <w:t xml:space="preserve">School District-Level Data from 2019 via Georgia Governor’s Office of Student Achievement</w:t>
        </w:r>
      </w:hyperlink>
      <w:r w:rsidDel="00000000" w:rsidR="00000000" w:rsidRPr="00000000">
        <w:rPr>
          <w:rtl w:val="0"/>
        </w:rPr>
      </w:r>
    </w:p>
    <w:p w:rsidR="00000000" w:rsidDel="00000000" w:rsidP="00000000" w:rsidRDefault="00000000" w:rsidRPr="00000000" w14:paraId="0000002E">
      <w:pPr>
        <w:numPr>
          <w:ilvl w:val="0"/>
          <w:numId w:val="2"/>
        </w:numPr>
        <w:ind w:left="720" w:hanging="360"/>
        <w:rPr>
          <w:u w:val="none"/>
        </w:rPr>
      </w:pPr>
      <w:hyperlink r:id="rId10">
        <w:r w:rsidDel="00000000" w:rsidR="00000000" w:rsidRPr="00000000">
          <w:rPr>
            <w:color w:val="1155cc"/>
            <w:u w:val="single"/>
            <w:rtl w:val="0"/>
          </w:rPr>
          <w:t xml:space="preserve">Crime in Georgia via City-Data.com</w:t>
        </w:r>
      </w:hyperlink>
      <w:r w:rsidDel="00000000" w:rsidR="00000000" w:rsidRPr="00000000">
        <w:rPr>
          <w:rtl w:val="0"/>
        </w:rPr>
      </w:r>
    </w:p>
    <w:p w:rsidR="00000000" w:rsidDel="00000000" w:rsidP="00000000" w:rsidRDefault="00000000" w:rsidRPr="00000000" w14:paraId="0000002F">
      <w:pPr>
        <w:numPr>
          <w:ilvl w:val="0"/>
          <w:numId w:val="2"/>
        </w:numPr>
        <w:ind w:left="720" w:hanging="360"/>
        <w:rPr>
          <w:u w:val="none"/>
        </w:rPr>
      </w:pPr>
      <w:hyperlink r:id="rId11">
        <w:r w:rsidDel="00000000" w:rsidR="00000000" w:rsidRPr="00000000">
          <w:rPr>
            <w:color w:val="1155cc"/>
            <w:u w:val="single"/>
            <w:rtl w:val="0"/>
          </w:rPr>
          <w:t xml:space="preserve">Popular Venues &amp; Venue Details via Foursquare API</w:t>
        </w:r>
      </w:hyperlink>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pStyle w:val="Heading1"/>
        <w:rPr/>
      </w:pPr>
      <w:bookmarkStart w:colFirst="0" w:colLast="0" w:name="_il0gi0nik13o" w:id="9"/>
      <w:bookmarkEnd w:id="9"/>
      <w:r w:rsidDel="00000000" w:rsidR="00000000" w:rsidRPr="00000000">
        <w:rPr>
          <w:rtl w:val="0"/>
        </w:rPr>
        <w:t xml:space="preserve">References</w:t>
      </w:r>
    </w:p>
    <w:p w:rsidR="00000000" w:rsidDel="00000000" w:rsidP="00000000" w:rsidRDefault="00000000" w:rsidRPr="00000000" w14:paraId="00000032">
      <w:pPr>
        <w:numPr>
          <w:ilvl w:val="0"/>
          <w:numId w:val="3"/>
        </w:numPr>
        <w:spacing w:after="0" w:afterAutospacing="0" w:before="240" w:lineRule="auto"/>
        <w:ind w:left="720" w:hanging="360"/>
      </w:pPr>
      <w:r w:rsidDel="00000000" w:rsidR="00000000" w:rsidRPr="00000000">
        <w:rPr>
          <w:rtl w:val="0"/>
        </w:rPr>
        <w:t xml:space="preserve">Hale, Danielle, et al. “2021 Housing Market Predictions and Forecast.” </w:t>
      </w:r>
      <w:r w:rsidDel="00000000" w:rsidR="00000000" w:rsidRPr="00000000">
        <w:rPr>
          <w:i w:val="1"/>
          <w:rtl w:val="0"/>
        </w:rPr>
        <w:t xml:space="preserve">Realtor.com Economic Research</w:t>
      </w:r>
      <w:r w:rsidDel="00000000" w:rsidR="00000000" w:rsidRPr="00000000">
        <w:rPr>
          <w:rtl w:val="0"/>
        </w:rPr>
        <w:t xml:space="preserve">, Realtor.com, 17 Dec. 2020, www.realtor.com/research/2021-national-housing-forecast/. </w:t>
      </w:r>
    </w:p>
    <w:p w:rsidR="00000000" w:rsidDel="00000000" w:rsidP="00000000" w:rsidRDefault="00000000" w:rsidRPr="00000000" w14:paraId="00000033">
      <w:pPr>
        <w:numPr>
          <w:ilvl w:val="0"/>
          <w:numId w:val="3"/>
        </w:numPr>
        <w:spacing w:after="0" w:afterAutospacing="0" w:before="0" w:beforeAutospacing="0" w:lineRule="auto"/>
        <w:ind w:left="720" w:hanging="360"/>
      </w:pPr>
      <w:r w:rsidDel="00000000" w:rsidR="00000000" w:rsidRPr="00000000">
        <w:rPr>
          <w:rtl w:val="0"/>
        </w:rPr>
        <w:t xml:space="preserve">Glaze, Tim. “Insane Lumber Prices Mean New Homes Cost $24K More.” </w:t>
      </w:r>
      <w:r w:rsidDel="00000000" w:rsidR="00000000" w:rsidRPr="00000000">
        <w:rPr>
          <w:i w:val="1"/>
          <w:rtl w:val="0"/>
        </w:rPr>
        <w:t xml:space="preserve">HousingWire</w:t>
      </w:r>
      <w:r w:rsidDel="00000000" w:rsidR="00000000" w:rsidRPr="00000000">
        <w:rPr>
          <w:rtl w:val="0"/>
        </w:rPr>
        <w:t xml:space="preserve">, HousingWire, 19 Mar. 2021, www.housingwire.com/articles/insane-lumber-prices-mean-new-homes-cost-24k-more/. </w:t>
      </w:r>
    </w:p>
    <w:p w:rsidR="00000000" w:rsidDel="00000000" w:rsidP="00000000" w:rsidRDefault="00000000" w:rsidRPr="00000000" w14:paraId="00000034">
      <w:pPr>
        <w:numPr>
          <w:ilvl w:val="0"/>
          <w:numId w:val="3"/>
        </w:numPr>
        <w:spacing w:after="240" w:before="0" w:beforeAutospacing="0" w:lineRule="auto"/>
        <w:ind w:left="720" w:hanging="360"/>
        <w:rPr>
          <w:u w:val="none"/>
        </w:rPr>
      </w:pPr>
      <w:r w:rsidDel="00000000" w:rsidR="00000000" w:rsidRPr="00000000">
        <w:rPr>
          <w:rtl w:val="0"/>
        </w:rPr>
        <w:t xml:space="preserve">Glaze, Tim. “Buyers Are Overpaying, but Are There Signs of a Bubble?” </w:t>
      </w:r>
      <w:r w:rsidDel="00000000" w:rsidR="00000000" w:rsidRPr="00000000">
        <w:rPr>
          <w:i w:val="1"/>
          <w:rtl w:val="0"/>
        </w:rPr>
        <w:t xml:space="preserve">HousingWire</w:t>
      </w:r>
      <w:r w:rsidDel="00000000" w:rsidR="00000000" w:rsidRPr="00000000">
        <w:rPr>
          <w:rtl w:val="0"/>
        </w:rPr>
        <w:t xml:space="preserve">, HousingWire, 25 Mar. 2021, 4:24pm, www.housingwire.com/articles/buyers-are-overpaying-but-are-there-signs-of-a-housing-bubble/. </w:t>
      </w:r>
      <w:r w:rsidDel="00000000" w:rsidR="00000000" w:rsidRPr="00000000">
        <w:rPr>
          <w:rtl w:val="0"/>
        </w:rPr>
      </w:r>
    </w:p>
    <w:sectPr>
      <w:headerReference r:id="rId12" w:type="default"/>
      <w:footerReference r:id="rId13" w:type="default"/>
      <w:footerReference r:id="rId14"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5">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low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ind w:left="720" w:hanging="360"/>
      <w:jc w:val="center"/>
    </w:pPr>
    <w:rPr>
      <w:b w:val="1"/>
      <w:sz w:val="38"/>
      <w:szCs w:val="38"/>
    </w:rPr>
  </w:style>
  <w:style w:type="paragraph" w:styleId="Heading2">
    <w:name w:val="heading 2"/>
    <w:basedOn w:val="Normal"/>
    <w:next w:val="Normal"/>
    <w:pPr>
      <w:keepNext w:val="1"/>
      <w:keepLines w:val="1"/>
      <w:spacing w:after="120" w:before="360" w:lineRule="auto"/>
    </w:pPr>
    <w:rPr>
      <w:b w:val="1"/>
      <w:color w:val="434343"/>
      <w:sz w:val="30"/>
      <w:szCs w:val="30"/>
    </w:rPr>
  </w:style>
  <w:style w:type="paragraph" w:styleId="Heading3">
    <w:name w:val="heading 3"/>
    <w:basedOn w:val="Normal"/>
    <w:next w:val="Normal"/>
    <w:pPr>
      <w:keepNext w:val="1"/>
      <w:keepLines w:val="1"/>
      <w:spacing w:after="80" w:before="320" w:lineRule="auto"/>
    </w:pPr>
    <w:rPr>
      <w:b w:val="1"/>
      <w:color w:val="434343"/>
      <w:sz w:val="28"/>
      <w:szCs w:val="28"/>
      <w:u w:val="single"/>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jc w:val="center"/>
    </w:pPr>
    <w:rPr>
      <w:sz w:val="48"/>
      <w:szCs w:val="48"/>
    </w:rPr>
  </w:style>
  <w:style w:type="paragraph" w:styleId="Subtitle">
    <w:name w:val="Subtitle"/>
    <w:basedOn w:val="Normal"/>
    <w:next w:val="Normal"/>
    <w:pPr>
      <w:keepNext w:val="1"/>
      <w:keepLines w:val="1"/>
      <w:spacing w:after="320" w:lineRule="auto"/>
      <w:jc w:val="center"/>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11" Type="http://schemas.openxmlformats.org/officeDocument/2006/relationships/hyperlink" Target="https://developer.foursquare.com/docs/api-reference/venues/explore/" TargetMode="External"/><Relationship Id="rId10" Type="http://schemas.openxmlformats.org/officeDocument/2006/relationships/hyperlink" Target="http://www.city-data.com/crime/crime-Georgia.html" TargetMode="External"/><Relationship Id="rId13" Type="http://schemas.openxmlformats.org/officeDocument/2006/relationships/footer" Target="footer2.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choolgrades.georgia.gov/dataset/district-level-data" TargetMode="External"/><Relationship Id="rId14"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https://namecensus.com/igapo/zip_codes/metropolitan-areas/metro-alpha/Atlanta%20(GA)1.html" TargetMode="External"/><Relationship Id="rId8" Type="http://schemas.openxmlformats.org/officeDocument/2006/relationships/hyperlink" Target="https://www.quandl.com/databases/ZILLOW/document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